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E6148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E6148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E61489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E61489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06-2/298-16</w:t>
      </w:r>
    </w:p>
    <w:p w:rsidR="00156603" w:rsidRPr="00D036D6" w:rsidRDefault="00125DE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6603" w:rsidRPr="00D036D6" w:rsidRDefault="00E6148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56603" w:rsidRPr="0087508F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E61489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E61489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E61489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5DE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E61489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2C65" w:rsidRPr="00D12C65">
        <w:rPr>
          <w:rFonts w:ascii="Times New Roman" w:eastAsia="Times New Roman" w:hAnsi="Times New Roman" w:cs="Times New Roman"/>
          <w:sz w:val="24"/>
          <w:szCs w:val="24"/>
        </w:rPr>
        <w:t>14.05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F22BE5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Jovica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E0B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E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Jovo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Ostojić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Ognjen</w:t>
      </w:r>
      <w:r w:rsidR="00ED23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Pantović</w:t>
      </w:r>
      <w:r w:rsidR="00ED23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2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Radičević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Default="00E61489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7926E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Gorana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Ćirića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Jovice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Jevtića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Pešić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Ivane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E61489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700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Default="007926E3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3C" w:rsidRPr="004638CE" w:rsidRDefault="00E61489" w:rsidP="00DA10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Damnjanovi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avni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7926E3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 w:rsidR="007926E3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7926E3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Veljko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evi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7926E3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6E3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Jovanka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Atanackovi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delatnoti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7926E3" w:rsidRPr="00DA10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Mirjana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Trifunovi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elni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nice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intermodalni</w:t>
      </w:r>
      <w:r w:rsidR="00DA103C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transprot</w:t>
      </w:r>
      <w:r w:rsidR="004638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87508F" w:rsidRDefault="00E61489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404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E61489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D036D6" w:rsidRDefault="00B61B4E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upravljanju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aerodromima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011-3191/16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stanovanju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održavanju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zgrada</w:t>
      </w:r>
      <w:r w:rsidRPr="00D036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360-2958/16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22.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lastRenderedPageBreak/>
        <w:tab/>
        <w:t xml:space="preserve">3.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transportu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opasne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robe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125DE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011-2623/16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25.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oktobra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komunalnim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352-3250/16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5.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Ujedinjenih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nacija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Centralnoj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kancelariji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Projekta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evropske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železnice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011-3073/16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); 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6.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Multilateralnog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komercijalnim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pravima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vanrednom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vazdušnom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avio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prevozu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Evropi</w:t>
      </w:r>
      <w:r w:rsidRPr="00D036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011-2737/16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156603" w:rsidRDefault="00156603" w:rsidP="007926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10094E" w:rsidRDefault="007926E3" w:rsidP="007926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5805F5" w:rsidRDefault="00E61489" w:rsidP="007926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B61B4E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Četvrte</w:t>
      </w:r>
      <w:r w:rsidR="00C17D4C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oktobra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Pete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86DFB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novembra</w:t>
      </w:r>
      <w:r w:rsidR="00686DFB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156603" w:rsidRPr="005805F5" w:rsidRDefault="00156603" w:rsidP="0015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C774C" w:rsidRPr="00D036D6" w:rsidRDefault="005C774C" w:rsidP="0015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A7C92" w:rsidRPr="00522C8D" w:rsidRDefault="00E61489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F1560B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F1560B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1560B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F1560B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upravljanju</w:t>
      </w:r>
      <w:r w:rsidR="00F1560B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aerodromima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2ACB" w:rsidRPr="00D036D6" w:rsidRDefault="00E61489" w:rsidP="00B61B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05F5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</w:rPr>
        <w:t>ni</w:t>
      </w:r>
      <w:r w:rsidR="005805F5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991C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doslednu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partnerstvu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koncesijama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najkvalitetniji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najefikasniji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pospešio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trendove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aerodromima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aeorodromima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samog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opšteg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aeorodromima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uveden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kompleksa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daljih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samog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bliže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aerodromskom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kompleksu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izvan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rešavaju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eksproprijacije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16C5" w:rsidRPr="00D036D6" w:rsidRDefault="00BE16C5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Pr="00D036D6" w:rsidRDefault="00E01AEA" w:rsidP="00E01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budući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manjih</w:t>
      </w:r>
      <w:r w:rsidR="0026792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Ponikve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Užica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Morava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Kraljeva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45A64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koncesijama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vremenskim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periodom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koncesionaru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predaje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aerodromom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potencijalnom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koncesijom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Tesla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funkcionalan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zatražen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akcionarima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35EB6" w:rsidRPr="00D036D6" w:rsidRDefault="00F35EB6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FEE" w:rsidRPr="0087508F" w:rsidRDefault="00E61489" w:rsidP="00A454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vezanim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letenja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vazdušnog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aerodromima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odlučila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osnuje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stručnom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820CF3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aerodromima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bezbedan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organizaciono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pomagaće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manjih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0B4DEB" w:rsidRPr="0087508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Tesla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planskih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akata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regulacije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osnivanju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78E" w:rsidRPr="00D036D6">
        <w:rPr>
          <w:rFonts w:ascii="Times New Roman" w:hAnsi="Times New Roman" w:cs="Times New Roman"/>
          <w:i/>
          <w:sz w:val="24"/>
          <w:szCs w:val="24"/>
        </w:rPr>
        <w:t>Etihada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pronašla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paralelno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investiranje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partnerski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dogovorenom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Tesla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angažovao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konsultanstku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kompaniju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model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Morava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vojni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mešoviti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ugovoru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morati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akcionarima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akcije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berzi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koncesionar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upravljati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imovinom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imaće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minimuma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planskim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7FEE" w:rsidRPr="0087508F" w:rsidRDefault="00CA7FE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5EB6" w:rsidRPr="00D036D6" w:rsidRDefault="00E61489" w:rsidP="00A454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7FEE" w:rsidRPr="0087508F" w:rsidRDefault="00CA7FE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A74" w:rsidRPr="00DA6A74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A6A74"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A6A74"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DA6A74"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6A74" w:rsidRPr="00DA6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upravljanju</w:t>
      </w:r>
      <w:r w:rsidR="00DA6A74" w:rsidRPr="00DA6A74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aerodromima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DA6A74" w:rsidRPr="00DA6A74">
        <w:rPr>
          <w:rFonts w:ascii="Times New Roman" w:hAnsi="Times New Roman" w:cs="Times New Roman"/>
          <w:sz w:val="24"/>
          <w:szCs w:val="24"/>
        </w:rPr>
        <w:t>.</w:t>
      </w:r>
    </w:p>
    <w:p w:rsidR="007926E3" w:rsidRDefault="007926E3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4A37" w:rsidRDefault="00DE4A37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Default="00E61489" w:rsidP="00AD27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5C774C" w:rsidRPr="00D036D6" w:rsidRDefault="005C774C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49CC" w:rsidRPr="00522C8D" w:rsidRDefault="00E61489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F22BE5" w:rsidRPr="00522C8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Predloga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zakona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stanovanju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održavanju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zgrada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koji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je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podnela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Vlada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načelu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B388B" w:rsidRDefault="00E61489" w:rsidP="0011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Jovanka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Atanacković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D5BD8" w:rsidRPr="00210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delatnoti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CD5B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stanovanju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sebi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spaja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92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stambenih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2005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socijalnom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>011.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zadovoljimo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budućim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generacijama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očuvane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loklane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situacijima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sopstvenim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ostavlja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svojom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imovinom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odluče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uravljati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ostavljena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samostalno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opisuju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obavljati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plaćeni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odlučivati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angažuju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opredeljuje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profesionalnog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samopurave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voditi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profesionalnog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organizovala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takav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trećim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prinudna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trajati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čim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izaberu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nekoga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prinudna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volji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bespravno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objektima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tuđem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zemljištu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preseljena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opredeljuje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ispoštovati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Prelaznim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višedecenijski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tzv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stanovima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privatnoj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vlasnicima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vodeći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vlasnicima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stanarima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pribavljeno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27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primedbi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tretiraju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izjasnio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6B7A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3A8C" w:rsidRPr="0011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7A3B" w:rsidRPr="001104C0" w:rsidRDefault="006B7A3B" w:rsidP="001009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66C5" w:rsidRDefault="00E61489" w:rsidP="000C78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6B7A3B" w:rsidRPr="000C78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usledili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postavljali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birati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upravnici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mogućnostima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dobijanje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kontrolisati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zaštićenim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stanarima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evidentiraju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sankcije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predviđenom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D940F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nosioci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stanarskog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smrti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zakupac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stambenu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rešavati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borcima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korisnicima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boračko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invalidske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civilnih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finanasijske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izdvoje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35E6" w:rsidRPr="000C78E0" w:rsidRDefault="009135E6" w:rsidP="001009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Default="00E61489" w:rsidP="00286B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prestavnik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objasnila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</w:t>
      </w:r>
      <w:r w:rsidR="00286B2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proveravaće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odnosima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povredi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privatnost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nečijeg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opasnost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požarna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policija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uđe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nikako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60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sasvim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ispoštuje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jednostavna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konkurišu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obnavljanju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fasada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Jedino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kontrolisati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evidentiranih</w:t>
      </w:r>
      <w:r w:rsidR="00F946C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prijavljivanje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izvršiti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ostane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neprijavnjen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sankcija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samopuprava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31.12.2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>026.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novčanu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nadoknadu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visini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otkupe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stanove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javnoj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90-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kakvoj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porodičnim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smatraju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krvnom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tazbinskom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srodstvu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računajući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potomke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koja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izdržavana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preseljenje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otkup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smrti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zakupac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prelazi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porodičnog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stambenu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89.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borca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invalidske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civilnih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aktivnih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vojnih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stambenog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regulisana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specifičnosti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situacijama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61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sufinansiranje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stanovanja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6B28" w:rsidRPr="009135E6" w:rsidRDefault="00286B28" w:rsidP="00AB6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Pr="00621D38" w:rsidRDefault="00E61489" w:rsidP="008757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C8041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Jovo</w:t>
      </w:r>
      <w:r w:rsidR="00C8041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Ostojić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A70BA" w:rsidRPr="0087508F" w:rsidRDefault="00AA70BA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F7555B" w:rsidRDefault="00E61489" w:rsidP="00AB6E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7555B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7555B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F7555B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stanovanju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F7555B" w:rsidRPr="00F75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F7555B" w:rsidRPr="00F755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Default="00DE1BD5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Pr="00621D38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AB6EB6" w:rsidRDefault="00E61489" w:rsidP="00AB6E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3D4C72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D4C72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D4C72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509E8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transportu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opasne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robe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AB6EB6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AB6EB6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AB6EB6" w:rsidRPr="00AB6EB6" w:rsidRDefault="00AB6EB6" w:rsidP="00AB6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5A24" w:rsidRPr="005E7425" w:rsidRDefault="00E61489" w:rsidP="005C2A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C2A70" w:rsidRPr="00210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vodni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5C2A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domaćeg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ratifikovanim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međunardonim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sporazumima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0E3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RID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ADN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5D0B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3C5D0B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14B1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E14B1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otklanja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važećem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imenovanih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sertifikata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RID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ADN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članicama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definisanim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slučajevima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dozvoliti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propisanih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RID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ADN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kratkim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razdaljinama</w:t>
      </w:r>
      <w:r w:rsidR="00C055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implementacionih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čitav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normiran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ugledu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razradio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nepreciznosti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ubrzan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priznavanja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isprave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usaglašenosti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pokretnu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opremu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cisterne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Ukinuto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teretilo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razvijenija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Pronađeno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nestandardna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greškom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sertifikat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ispunjavaju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podležu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bezbednosnim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zahtevima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`94.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sertifikat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suprotnom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vozilo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dat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flotu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prilagode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novim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zakonskim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ukida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opasnog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tereta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Ministarstva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formirati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3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CS"/>
        </w:rPr>
        <w:t>inistarstva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5502" w:rsidRDefault="00C05502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2B7CB4" w:rsidRDefault="00E61489" w:rsidP="002B7C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45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D4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2B7CB4" w:rsidRPr="002B7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2B7CB4" w:rsidRPr="002B7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Default="00DE1BD5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CC7" w:rsidRPr="00621D38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4C6A" w:rsidRDefault="00EC4C6A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B4E" w:rsidRDefault="00263B4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C6A" w:rsidRPr="00843CC7" w:rsidRDefault="00E61489" w:rsidP="00FE49CC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Predloga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zakona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izmenama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i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dopunama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Zakona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komunalnim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delatnostima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koji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je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podnela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Vlada</w:t>
      </w:r>
      <w:r w:rsidR="00AB6EB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u</w:t>
      </w:r>
      <w:r w:rsidR="00AB6EB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načelu</w:t>
      </w:r>
    </w:p>
    <w:p w:rsidR="00EC4C6A" w:rsidRPr="00843CC7" w:rsidRDefault="00EC4C6A" w:rsidP="00FE49CC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</w:p>
    <w:p w:rsidR="00EC4C6A" w:rsidRPr="00EC4C6A" w:rsidRDefault="00E61489" w:rsidP="00263B4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uvodnom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izlaganju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Jovanka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Atanacković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4633C" w:rsidRPr="00210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delatnoti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9463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633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istakla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važeći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donet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2011.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godine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pet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godina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njegove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primene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uočene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određene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nepravilnosti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odnosno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neusaglašenosti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sektorskim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zakonom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Takođe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promenilo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tržište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kao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uslovi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poslovanja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tom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smislu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potrebne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bi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jasnije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definisale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vrste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velike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važnosti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jer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njih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zavisi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normalan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život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građana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imajući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vidu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ih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građani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plaćaju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jako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bitno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obavlja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način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Ovim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predložila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jedan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akt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kojim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će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utvrditi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uslovi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pod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kojima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mogu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obavljati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komunalne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odnosno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sposobnost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lica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vrše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Kada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svojoj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teritoriji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budu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poveravale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privatnim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licima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jako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bitno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privatnike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znaju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transparentan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način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poveravanja</w:t>
      </w:r>
      <w:r w:rsidR="008B03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zato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utvrđeno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ovaj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poveravanja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primenjuje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Zakon</w:t>
      </w:r>
      <w:r w:rsidR="001F66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o</w:t>
      </w:r>
      <w:r w:rsidR="001F66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javnom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privatnom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partnerstvu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koncesijma</w:t>
      </w:r>
      <w:r w:rsidR="00394E2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,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predviđa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vrlo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transparentnu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detaljnu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proceduru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svim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zainteresovanim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licvima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.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Prvi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put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jedan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ovakav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uvodi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novina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građani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odlučuju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će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raditi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taj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posao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njihovoj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teritoriji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tako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što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će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izjašnjavati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zadovoljni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komunalnom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uslugom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taj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način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direktno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uticati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poboljša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kvalitet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komunalnih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usluga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zaključila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predstavnik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Ministarstva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kraju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izlaganja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.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2C3B0F" w:rsidRDefault="002C3B0F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56B" w:rsidRPr="0093756B" w:rsidRDefault="00E61489" w:rsidP="00A46A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F5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831A6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831A6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5B34" w:rsidRPr="00F7555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0F5B3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756B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izmenama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i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dopunama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RS" w:eastAsia="sr-Cyrl-CS"/>
        </w:rPr>
        <w:t>Z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akona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o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komunalnim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delatnostima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3756B" w:rsidRPr="009375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1F66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Default="007926E3" w:rsidP="001F66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68C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00C1" w:rsidRP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2C3B0F" w:rsidRPr="007926E3" w:rsidRDefault="002C3B0F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7926E3" w:rsidRDefault="007926E3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Default="00E61489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Predloga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zakona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potvrđivanju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Sporazuma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između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Vlade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Republike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Srbije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Ujedinjenih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nacija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Centralnoj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kancelariji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Projekta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Trans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evropske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železnice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koji</w:t>
      </w:r>
      <w:r w:rsidR="003D1972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je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podnela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Vlada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709" w:rsidRDefault="00E61489" w:rsidP="00F92C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1F668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Trifunović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38CE" w:rsidRPr="0046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elni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463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nice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intermodalni</w:t>
      </w:r>
      <w:r w:rsidR="004638CE" w:rsidRPr="00DA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transprot</w:t>
      </w:r>
      <w:r w:rsidR="004638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ogleda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razumevanju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železnice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ustanovljen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1990.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glavnim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jugoistočne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postižu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kombinovani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FD3A8C" w:rsidRPr="00F92CFC">
        <w:rPr>
          <w:rFonts w:ascii="Times New Roman" w:hAnsi="Times New Roman" w:cs="Times New Roman"/>
          <w:sz w:val="24"/>
          <w:szCs w:val="24"/>
        </w:rPr>
        <w:t xml:space="preserve"> </w:t>
      </w:r>
      <w:r w:rsidR="00BA04A1" w:rsidRPr="00F92CFC">
        <w:rPr>
          <w:rFonts w:ascii="Times New Roman" w:hAnsi="Times New Roman" w:cs="Times New Roman"/>
          <w:sz w:val="24"/>
          <w:szCs w:val="24"/>
        </w:rPr>
        <w:t>UNECE-a</w:t>
      </w:r>
      <w:r w:rsidR="009D44FF" w:rsidRPr="00F92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ocenjeno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doprinos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ponuđeno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susreću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eminentni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stručnjaci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razmenjuju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Svrha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ciljevima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smernicama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samom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Trifunović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2CFC" w:rsidRPr="00F92CFC" w:rsidRDefault="00F92CF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191A" w:rsidRDefault="00E61489" w:rsidP="00F92C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Ostojić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adaptacije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ponovnog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uspostavljanja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Sombor</w:t>
      </w:r>
      <w:r w:rsidR="007926E3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Apatin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2CFC" w:rsidRPr="00F92CFC" w:rsidRDefault="00F92CF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191A" w:rsidRDefault="00E61489" w:rsidP="00DA10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dostavljene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modernizaciju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65D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A3191A" w:rsidRPr="0068746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oduzimanju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pomenutom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deonicom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Sombor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Apatin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103C" w:rsidRPr="00F92CFC" w:rsidRDefault="00DA103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A6F" w:rsidRPr="00387DB4" w:rsidRDefault="00E61489" w:rsidP="00387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831A6"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D831A6" w:rsidRPr="00387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Ujedinjenih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nacija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Centralnoj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kancelariji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Projekta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evropske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železnice</w:t>
      </w:r>
      <w:r w:rsidR="00D831A6"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31A6"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31A6"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831A6"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831A6" w:rsidRPr="00387D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26E3" w:rsidRPr="00387DB4" w:rsidRDefault="007926E3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387DB4" w:rsidRDefault="007926E3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A6F" w:rsidRPr="00387DB4" w:rsidRDefault="00E61489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1D37" w:rsidRPr="00387DB4" w:rsidRDefault="004E1D37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D831A6" w:rsidRDefault="007926E3" w:rsidP="00F7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1D37" w:rsidRPr="00D831A6" w:rsidRDefault="00E61489" w:rsidP="00F76A6F">
      <w:pPr>
        <w:pStyle w:val="NoSpacing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B54459" w:rsidRPr="00D831A6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Predloga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zakona</w:t>
      </w:r>
      <w:r w:rsidR="004456BC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potvrđivanju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Multilateralnog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sporazuma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komercijalnim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pravima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vanrednom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vazdušnom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avio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prevozu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Evropi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koji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je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podnela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Vlada</w:t>
      </w:r>
    </w:p>
    <w:p w:rsidR="00B54459" w:rsidRPr="00D831A6" w:rsidRDefault="00B54459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B54459" w:rsidRDefault="00EF6149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uvodnom</w:t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izlaganju</w:t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</w:rPr>
        <w:t>za</w:t>
      </w:r>
      <w:r w:rsidR="003D04C2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</w:rPr>
        <w:t>vazdu</w:t>
      </w:r>
      <w:r w:rsidR="00E61489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61489">
        <w:rPr>
          <w:rFonts w:ascii="Times New Roman" w:hAnsi="Times New Roman" w:cs="Times New Roman"/>
          <w:sz w:val="24"/>
          <w:szCs w:val="24"/>
        </w:rPr>
        <w:t>ni</w:t>
      </w:r>
      <w:r w:rsidR="003D04C2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</w:rPr>
        <w:t>saobra</w:t>
      </w:r>
      <w:r w:rsidR="00E61489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E61489">
        <w:rPr>
          <w:rFonts w:ascii="Times New Roman" w:hAnsi="Times New Roman" w:cs="Times New Roman"/>
          <w:sz w:val="24"/>
          <w:szCs w:val="24"/>
        </w:rPr>
        <w:t>aj</w:t>
      </w:r>
      <w:r w:rsidR="003D04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istakao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sporazum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potpisalo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nešto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više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zemalja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Evropske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unije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ovim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putem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pridružuje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Republika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Potpisivanjem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našim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avio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komapanijama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bave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neredovnim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avio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saobraćajem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što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letovi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medicinske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potrebe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ili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prevoz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poslovnih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ljudi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biće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omogućeno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funkcionišu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najpovoljnijim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uslovima</w:t>
      </w:r>
      <w:r w:rsidR="00930272" w:rsidRP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kroz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čitavu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Evropu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kada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pitanju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vazduhoplovna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Prihvatanjem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potpisivanjem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ovog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Republika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će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što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tiče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grupe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vazduhoplova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vrste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saobraćaja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imati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uslove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ostale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članice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nakon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ulaska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Evropsku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uniju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istaknuto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kraju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izlaganja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87463" w:rsidRDefault="00687463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926E3" w:rsidRPr="00A30D1A" w:rsidRDefault="00E61489" w:rsidP="00972B34">
      <w:pPr>
        <w:pStyle w:val="NoSpacing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72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72B3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72B34" w:rsidRPr="00937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Multilateralnog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vanrednom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30D1A" w:rsidRPr="00A30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Default="007926E3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Pr="004456BC" w:rsidRDefault="00DE1BD5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8EA" w:rsidRPr="00CE2F2C" w:rsidRDefault="00E61489" w:rsidP="00CE2F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00C1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CE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E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</w:p>
    <w:p w:rsidR="006E48EA" w:rsidRDefault="006E48EA" w:rsidP="00762AA9">
      <w:pPr>
        <w:jc w:val="center"/>
        <w:rPr>
          <w:rFonts w:ascii="Times New Roman" w:hAnsi="Times New Roman"/>
          <w:lang w:val="sr-Cyrl-CS"/>
        </w:rPr>
      </w:pPr>
    </w:p>
    <w:p w:rsidR="00972B34" w:rsidRDefault="00972B34" w:rsidP="00762AA9">
      <w:pPr>
        <w:jc w:val="center"/>
        <w:rPr>
          <w:rFonts w:ascii="Times New Roman" w:hAnsi="Times New Roman"/>
          <w:lang w:val="sr-Cyrl-CS"/>
        </w:rPr>
      </w:pPr>
    </w:p>
    <w:p w:rsidR="00762AA9" w:rsidRPr="0087508F" w:rsidRDefault="00762AA9" w:rsidP="00762AA9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E48EA" w:rsidRPr="007926E3" w:rsidRDefault="00762AA9" w:rsidP="00CE2F2C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CE2F2C" w:rsidRDefault="00CE2F2C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E6148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2C65">
        <w:rPr>
          <w:rFonts w:ascii="Times New Roman" w:eastAsia="Times New Roman" w:hAnsi="Times New Roman" w:cs="Times New Roman"/>
          <w:sz w:val="24"/>
          <w:szCs w:val="24"/>
        </w:rPr>
        <w:t>16.45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E6148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F76A6F" w:rsidRPr="001F668C" w:rsidRDefault="00F76A6F" w:rsidP="00FE49C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76A6F" w:rsidRPr="001F668C" w:rsidSect="006E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13" w:rsidRDefault="006C6013" w:rsidP="006E48EA">
      <w:pPr>
        <w:spacing w:after="0" w:line="240" w:lineRule="auto"/>
      </w:pPr>
      <w:r>
        <w:separator/>
      </w:r>
    </w:p>
  </w:endnote>
  <w:endnote w:type="continuationSeparator" w:id="0">
    <w:p w:rsidR="006C6013" w:rsidRDefault="006C6013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4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13" w:rsidRDefault="006C6013" w:rsidP="006E48EA">
      <w:pPr>
        <w:spacing w:after="0" w:line="240" w:lineRule="auto"/>
      </w:pPr>
      <w:r>
        <w:separator/>
      </w:r>
    </w:p>
  </w:footnote>
  <w:footnote w:type="continuationSeparator" w:id="0">
    <w:p w:rsidR="006C6013" w:rsidRDefault="006C6013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3292"/>
    <w:rsid w:val="00013FBE"/>
    <w:rsid w:val="000309C9"/>
    <w:rsid w:val="000309D6"/>
    <w:rsid w:val="00032289"/>
    <w:rsid w:val="00054EB0"/>
    <w:rsid w:val="00080BE6"/>
    <w:rsid w:val="000B45F8"/>
    <w:rsid w:val="000B4DEB"/>
    <w:rsid w:val="000C78E0"/>
    <w:rsid w:val="000D5DED"/>
    <w:rsid w:val="000F5B34"/>
    <w:rsid w:val="0010094E"/>
    <w:rsid w:val="001104C0"/>
    <w:rsid w:val="00125DEF"/>
    <w:rsid w:val="0013484C"/>
    <w:rsid w:val="00156603"/>
    <w:rsid w:val="00164438"/>
    <w:rsid w:val="001A7C92"/>
    <w:rsid w:val="001C6D4D"/>
    <w:rsid w:val="001D2F8C"/>
    <w:rsid w:val="001F668C"/>
    <w:rsid w:val="002224BA"/>
    <w:rsid w:val="002347C2"/>
    <w:rsid w:val="00247F75"/>
    <w:rsid w:val="00250C91"/>
    <w:rsid w:val="00263B4E"/>
    <w:rsid w:val="00267920"/>
    <w:rsid w:val="002761C0"/>
    <w:rsid w:val="00286B28"/>
    <w:rsid w:val="002B7CB4"/>
    <w:rsid w:val="002C3B0F"/>
    <w:rsid w:val="002E24D3"/>
    <w:rsid w:val="002F0241"/>
    <w:rsid w:val="002F3F54"/>
    <w:rsid w:val="00307038"/>
    <w:rsid w:val="00344269"/>
    <w:rsid w:val="00357E81"/>
    <w:rsid w:val="0036097C"/>
    <w:rsid w:val="00360C48"/>
    <w:rsid w:val="00365DFD"/>
    <w:rsid w:val="00387DB4"/>
    <w:rsid w:val="00393684"/>
    <w:rsid w:val="00394E2C"/>
    <w:rsid w:val="003A5ED4"/>
    <w:rsid w:val="003B07A4"/>
    <w:rsid w:val="003C5D0B"/>
    <w:rsid w:val="003D04C2"/>
    <w:rsid w:val="003D1972"/>
    <w:rsid w:val="003D4C72"/>
    <w:rsid w:val="004456BC"/>
    <w:rsid w:val="004509E8"/>
    <w:rsid w:val="004638CE"/>
    <w:rsid w:val="004A56ED"/>
    <w:rsid w:val="004C601E"/>
    <w:rsid w:val="004D0C85"/>
    <w:rsid w:val="004E1D37"/>
    <w:rsid w:val="004E42CB"/>
    <w:rsid w:val="00503AA3"/>
    <w:rsid w:val="00506EEA"/>
    <w:rsid w:val="00510D45"/>
    <w:rsid w:val="00522C8D"/>
    <w:rsid w:val="00526A0C"/>
    <w:rsid w:val="00553E58"/>
    <w:rsid w:val="00562ACB"/>
    <w:rsid w:val="005700C1"/>
    <w:rsid w:val="005805F5"/>
    <w:rsid w:val="00580B91"/>
    <w:rsid w:val="00582003"/>
    <w:rsid w:val="00594CDE"/>
    <w:rsid w:val="005A05EA"/>
    <w:rsid w:val="005A763A"/>
    <w:rsid w:val="005B28E7"/>
    <w:rsid w:val="005B671E"/>
    <w:rsid w:val="005C2A70"/>
    <w:rsid w:val="005C774C"/>
    <w:rsid w:val="005D2B57"/>
    <w:rsid w:val="005E7425"/>
    <w:rsid w:val="005F1534"/>
    <w:rsid w:val="0061396A"/>
    <w:rsid w:val="00621D38"/>
    <w:rsid w:val="00622604"/>
    <w:rsid w:val="006318C0"/>
    <w:rsid w:val="00671C82"/>
    <w:rsid w:val="00677CC6"/>
    <w:rsid w:val="00686DFB"/>
    <w:rsid w:val="00687463"/>
    <w:rsid w:val="00695FDA"/>
    <w:rsid w:val="006A5E0F"/>
    <w:rsid w:val="006B7A3B"/>
    <w:rsid w:val="006C0B3C"/>
    <w:rsid w:val="006C6013"/>
    <w:rsid w:val="006E48EA"/>
    <w:rsid w:val="00743576"/>
    <w:rsid w:val="00762AA9"/>
    <w:rsid w:val="00772C5B"/>
    <w:rsid w:val="00782B87"/>
    <w:rsid w:val="007926E3"/>
    <w:rsid w:val="007A448C"/>
    <w:rsid w:val="007C7C9D"/>
    <w:rsid w:val="007D6A4B"/>
    <w:rsid w:val="007D7F14"/>
    <w:rsid w:val="00820CF3"/>
    <w:rsid w:val="00843CC7"/>
    <w:rsid w:val="00845320"/>
    <w:rsid w:val="00845A64"/>
    <w:rsid w:val="0087508F"/>
    <w:rsid w:val="008757A6"/>
    <w:rsid w:val="008831A6"/>
    <w:rsid w:val="008B03CD"/>
    <w:rsid w:val="008D0C99"/>
    <w:rsid w:val="00903D9E"/>
    <w:rsid w:val="00911929"/>
    <w:rsid w:val="009135E6"/>
    <w:rsid w:val="0092678E"/>
    <w:rsid w:val="00930272"/>
    <w:rsid w:val="0093756B"/>
    <w:rsid w:val="0094633C"/>
    <w:rsid w:val="00961994"/>
    <w:rsid w:val="00972B34"/>
    <w:rsid w:val="00980268"/>
    <w:rsid w:val="009813AE"/>
    <w:rsid w:val="00986412"/>
    <w:rsid w:val="009912A2"/>
    <w:rsid w:val="00991C9C"/>
    <w:rsid w:val="009A02A3"/>
    <w:rsid w:val="009B388B"/>
    <w:rsid w:val="009B3A11"/>
    <w:rsid w:val="009D44FF"/>
    <w:rsid w:val="009D470B"/>
    <w:rsid w:val="009F4861"/>
    <w:rsid w:val="009F5569"/>
    <w:rsid w:val="00A2033F"/>
    <w:rsid w:val="00A20340"/>
    <w:rsid w:val="00A20E34"/>
    <w:rsid w:val="00A3031B"/>
    <w:rsid w:val="00A30D1A"/>
    <w:rsid w:val="00A3191A"/>
    <w:rsid w:val="00A36C5D"/>
    <w:rsid w:val="00A454D4"/>
    <w:rsid w:val="00A45E80"/>
    <w:rsid w:val="00A46AF2"/>
    <w:rsid w:val="00A83857"/>
    <w:rsid w:val="00AA70BA"/>
    <w:rsid w:val="00AB14F4"/>
    <w:rsid w:val="00AB6EB6"/>
    <w:rsid w:val="00AD270F"/>
    <w:rsid w:val="00AE7895"/>
    <w:rsid w:val="00B02D41"/>
    <w:rsid w:val="00B065D6"/>
    <w:rsid w:val="00B13AC0"/>
    <w:rsid w:val="00B404A9"/>
    <w:rsid w:val="00B54459"/>
    <w:rsid w:val="00B61B4E"/>
    <w:rsid w:val="00B72740"/>
    <w:rsid w:val="00B80F48"/>
    <w:rsid w:val="00B85D48"/>
    <w:rsid w:val="00BA04A1"/>
    <w:rsid w:val="00BA6F72"/>
    <w:rsid w:val="00BB463B"/>
    <w:rsid w:val="00BC66D0"/>
    <w:rsid w:val="00BD070F"/>
    <w:rsid w:val="00BE16C5"/>
    <w:rsid w:val="00BE6BAD"/>
    <w:rsid w:val="00C05502"/>
    <w:rsid w:val="00C17D4C"/>
    <w:rsid w:val="00C30241"/>
    <w:rsid w:val="00C604D7"/>
    <w:rsid w:val="00C60F4D"/>
    <w:rsid w:val="00C80410"/>
    <w:rsid w:val="00C80C6F"/>
    <w:rsid w:val="00C84069"/>
    <w:rsid w:val="00CA7FEE"/>
    <w:rsid w:val="00CB7F77"/>
    <w:rsid w:val="00CD5BD8"/>
    <w:rsid w:val="00CE2F2C"/>
    <w:rsid w:val="00D036D6"/>
    <w:rsid w:val="00D12C65"/>
    <w:rsid w:val="00D2598A"/>
    <w:rsid w:val="00D40E60"/>
    <w:rsid w:val="00D5556F"/>
    <w:rsid w:val="00D55EE3"/>
    <w:rsid w:val="00D67709"/>
    <w:rsid w:val="00D831A6"/>
    <w:rsid w:val="00D940F4"/>
    <w:rsid w:val="00D96FE4"/>
    <w:rsid w:val="00DA103C"/>
    <w:rsid w:val="00DA6A74"/>
    <w:rsid w:val="00DE1BD5"/>
    <w:rsid w:val="00DE4A37"/>
    <w:rsid w:val="00E0063B"/>
    <w:rsid w:val="00E01563"/>
    <w:rsid w:val="00E01AEA"/>
    <w:rsid w:val="00E14B10"/>
    <w:rsid w:val="00E31BF4"/>
    <w:rsid w:val="00E61489"/>
    <w:rsid w:val="00EB18CB"/>
    <w:rsid w:val="00EC4C6A"/>
    <w:rsid w:val="00ED0553"/>
    <w:rsid w:val="00ED2335"/>
    <w:rsid w:val="00EE0BA2"/>
    <w:rsid w:val="00EE17B5"/>
    <w:rsid w:val="00EF6149"/>
    <w:rsid w:val="00F03518"/>
    <w:rsid w:val="00F1560B"/>
    <w:rsid w:val="00F22BE5"/>
    <w:rsid w:val="00F30E46"/>
    <w:rsid w:val="00F329E9"/>
    <w:rsid w:val="00F35EB6"/>
    <w:rsid w:val="00F452B4"/>
    <w:rsid w:val="00F45B55"/>
    <w:rsid w:val="00F52F4E"/>
    <w:rsid w:val="00F54B16"/>
    <w:rsid w:val="00F75116"/>
    <w:rsid w:val="00F7555B"/>
    <w:rsid w:val="00F76A6F"/>
    <w:rsid w:val="00F92CFC"/>
    <w:rsid w:val="00F946C5"/>
    <w:rsid w:val="00FB06FC"/>
    <w:rsid w:val="00FB5A24"/>
    <w:rsid w:val="00FD3A8C"/>
    <w:rsid w:val="00FD4E14"/>
    <w:rsid w:val="00FE3C49"/>
    <w:rsid w:val="00FE49CC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2216-5EAC-4ACC-BA3A-95E76A72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info</cp:lastModifiedBy>
  <cp:revision>2</cp:revision>
  <cp:lastPrinted>2017-01-12T12:27:00Z</cp:lastPrinted>
  <dcterms:created xsi:type="dcterms:W3CDTF">2017-01-24T10:00:00Z</dcterms:created>
  <dcterms:modified xsi:type="dcterms:W3CDTF">2017-01-24T10:00:00Z</dcterms:modified>
</cp:coreProperties>
</file>